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86CA9" w14:textId="77777777" w:rsidR="00605CC8" w:rsidRPr="00094CF6" w:rsidRDefault="00605CC8" w:rsidP="00605CC8">
      <w:pPr>
        <w:spacing w:before="240" w:line="360" w:lineRule="auto"/>
        <w:jc w:val="center"/>
        <w:rPr>
          <w:rFonts w:ascii="Times New Roman" w:hAnsi="Times New Roman" w:cs="Times New Roman"/>
          <w:b/>
          <w:sz w:val="26"/>
          <w:szCs w:val="26"/>
        </w:rPr>
      </w:pPr>
      <w:r w:rsidRPr="00094CF6">
        <w:rPr>
          <w:rFonts w:ascii="Times New Roman" w:hAnsi="Times New Roman" w:cs="Times New Roman"/>
          <w:b/>
          <w:sz w:val="26"/>
          <w:szCs w:val="26"/>
        </w:rPr>
        <w:t xml:space="preserve">Schema tipo </w:t>
      </w:r>
    </w:p>
    <w:p w14:paraId="304D7440" w14:textId="77777777" w:rsidR="00605CC8" w:rsidRPr="00094CF6" w:rsidRDefault="00605CC8" w:rsidP="00605CC8">
      <w:pPr>
        <w:spacing w:line="360" w:lineRule="auto"/>
        <w:jc w:val="center"/>
        <w:rPr>
          <w:rFonts w:ascii="Times New Roman" w:hAnsi="Times New Roman" w:cs="Times New Roman"/>
          <w:b/>
        </w:rPr>
      </w:pPr>
      <w:r w:rsidRPr="00094CF6">
        <w:rPr>
          <w:rFonts w:ascii="Times New Roman" w:hAnsi="Times New Roman" w:cs="Times New Roman"/>
          <w:b/>
        </w:rPr>
        <w:t>RELAZIONE 202</w:t>
      </w:r>
      <w:r>
        <w:rPr>
          <w:rFonts w:ascii="Times New Roman" w:hAnsi="Times New Roman" w:cs="Times New Roman"/>
          <w:b/>
        </w:rPr>
        <w:t>1</w:t>
      </w:r>
    </w:p>
    <w:p w14:paraId="26718176" w14:textId="77777777" w:rsidR="00605CC8" w:rsidRPr="00094CF6" w:rsidRDefault="00605CC8" w:rsidP="00605CC8">
      <w:pPr>
        <w:spacing w:line="360" w:lineRule="auto"/>
        <w:jc w:val="center"/>
        <w:rPr>
          <w:rFonts w:ascii="Times New Roman" w:hAnsi="Times New Roman" w:cs="Times New Roman"/>
          <w:b/>
        </w:rPr>
      </w:pPr>
      <w:r w:rsidRPr="00094CF6">
        <w:rPr>
          <w:rFonts w:ascii="Times New Roman" w:hAnsi="Times New Roman" w:cs="Times New Roman"/>
          <w:b/>
        </w:rPr>
        <w:t>AI SENSI DEL COMMA 2.1, LETT. A, DELLA DELIBERAZIONE 311/2019/R/IDR, RECANTE “REGOLAZIONE DELLA MOROSITÀ NEL SERVIZIO IDRICO INTEGRATO”</w:t>
      </w:r>
    </w:p>
    <w:p w14:paraId="6B8046E9" w14:textId="77777777" w:rsidR="00605CC8" w:rsidRPr="00094CF6" w:rsidRDefault="00605CC8" w:rsidP="00605CC8">
      <w:pPr>
        <w:rPr>
          <w:rFonts w:ascii="Times New Roman" w:hAnsi="Times New Roman" w:cs="Times New Roman"/>
        </w:rPr>
      </w:pPr>
    </w:p>
    <w:p w14:paraId="332D3794" w14:textId="77777777" w:rsidR="00605CC8" w:rsidRPr="00094CF6" w:rsidRDefault="00605CC8" w:rsidP="00605CC8">
      <w:pPr>
        <w:pStyle w:val="Titolo1"/>
        <w:rPr>
          <w:rFonts w:cs="Times New Roman"/>
        </w:rPr>
      </w:pPr>
      <w:bookmarkStart w:id="0" w:name="_Toc56439196"/>
      <w:r w:rsidRPr="00094CF6">
        <w:rPr>
          <w:rFonts w:cs="Times New Roman"/>
        </w:rPr>
        <w:t>Premessa</w:t>
      </w:r>
      <w:bookmarkEnd w:id="0"/>
    </w:p>
    <w:p w14:paraId="68BA07FF" w14:textId="77777777" w:rsidR="00605CC8" w:rsidRPr="005C66E5" w:rsidRDefault="00605CC8" w:rsidP="00605CC8">
      <w:pPr>
        <w:spacing w:line="360" w:lineRule="auto"/>
        <w:rPr>
          <w:rFonts w:ascii="Times New Roman" w:hAnsi="Times New Roman" w:cs="Times New Roman"/>
          <w:sz w:val="24"/>
          <w:szCs w:val="24"/>
        </w:rPr>
      </w:pPr>
      <w:r w:rsidRPr="005C66E5">
        <w:rPr>
          <w:rFonts w:ascii="Times New Roman" w:hAnsi="Times New Roman" w:cs="Times New Roman"/>
          <w:sz w:val="24"/>
          <w:szCs w:val="24"/>
        </w:rPr>
        <w:t xml:space="preserve">La presente relazione è redatta dall’Ente di governo dell’ambito </w:t>
      </w:r>
      <w:r w:rsidRPr="005C66E5">
        <w:rPr>
          <w:rFonts w:ascii="Times New Roman" w:hAnsi="Times New Roman" w:cs="Times New Roman"/>
          <w:i/>
          <w:sz w:val="24"/>
          <w:szCs w:val="24"/>
          <w:bdr w:val="single" w:sz="4" w:space="0" w:color="auto"/>
          <w:shd w:val="clear" w:color="auto" w:fill="D9E2F3"/>
        </w:rPr>
        <w:t xml:space="preserve"> indicare denominazione EGA </w:t>
      </w:r>
      <w:r w:rsidRPr="005C66E5">
        <w:rPr>
          <w:rFonts w:ascii="Times New Roman" w:hAnsi="Times New Roman" w:cs="Times New Roman"/>
          <w:sz w:val="24"/>
          <w:szCs w:val="24"/>
        </w:rPr>
        <w:t xml:space="preserve">, in collaborazione con il gestore </w:t>
      </w:r>
      <w:r w:rsidRPr="005C66E5">
        <w:rPr>
          <w:rFonts w:ascii="Times New Roman" w:hAnsi="Times New Roman" w:cs="Times New Roman"/>
          <w:i/>
          <w:sz w:val="24"/>
          <w:szCs w:val="24"/>
          <w:bdr w:val="single" w:sz="4" w:space="0" w:color="auto"/>
          <w:shd w:val="clear" w:color="auto" w:fill="D9E2F3"/>
        </w:rPr>
        <w:t xml:space="preserve"> specificare la gestione di riferimento </w:t>
      </w:r>
      <w:r w:rsidRPr="005C66E5">
        <w:rPr>
          <w:rFonts w:ascii="Times New Roman" w:hAnsi="Times New Roman" w:cs="Times New Roman"/>
          <w:sz w:val="24"/>
          <w:szCs w:val="24"/>
        </w:rPr>
        <w:t>, ed è volta a fornire contributi all’attività di monitoraggio “</w:t>
      </w:r>
      <w:r w:rsidRPr="005C66E5">
        <w:rPr>
          <w:rFonts w:ascii="Times New Roman" w:hAnsi="Times New Roman" w:cs="Times New Roman"/>
          <w:i/>
          <w:sz w:val="24"/>
          <w:szCs w:val="24"/>
        </w:rPr>
        <w:t xml:space="preserve">sui casi in cui la procedura di limitazione ovvero la promozione della </w:t>
      </w:r>
      <w:proofErr w:type="spellStart"/>
      <w:r w:rsidRPr="005C66E5">
        <w:rPr>
          <w:rFonts w:ascii="Times New Roman" w:hAnsi="Times New Roman" w:cs="Times New Roman"/>
          <w:i/>
          <w:sz w:val="24"/>
          <w:szCs w:val="24"/>
        </w:rPr>
        <w:t>disalimentazione</w:t>
      </w:r>
      <w:proofErr w:type="spellEnd"/>
      <w:r w:rsidRPr="005C66E5">
        <w:rPr>
          <w:rFonts w:ascii="Times New Roman" w:hAnsi="Times New Roman" w:cs="Times New Roman"/>
          <w:i/>
          <w:sz w:val="24"/>
          <w:szCs w:val="24"/>
        </w:rPr>
        <w:t xml:space="preserve"> selettiva nelle utenze condominiali non risultino tecnicamente possibili</w:t>
      </w:r>
      <w:r w:rsidRPr="005C66E5">
        <w:rPr>
          <w:rFonts w:ascii="Times New Roman" w:hAnsi="Times New Roman" w:cs="Times New Roman"/>
          <w:sz w:val="24"/>
          <w:szCs w:val="24"/>
        </w:rPr>
        <w:t>”, avviata dall’Autorità di Regolazione per Energia Reti e Ambiente ai sensi di quanto previsto dal comma 2.1 della deliberazione 16 luglio 2019, 311/2019/R/</w:t>
      </w:r>
      <w:proofErr w:type="spellStart"/>
      <w:r w:rsidRPr="005C66E5">
        <w:rPr>
          <w:rFonts w:ascii="Times New Roman" w:hAnsi="Times New Roman" w:cs="Times New Roman"/>
          <w:smallCaps/>
          <w:sz w:val="24"/>
          <w:szCs w:val="24"/>
        </w:rPr>
        <w:t>idr</w:t>
      </w:r>
      <w:proofErr w:type="spellEnd"/>
      <w:r w:rsidRPr="005C66E5">
        <w:rPr>
          <w:rFonts w:ascii="Times New Roman" w:hAnsi="Times New Roman" w:cs="Times New Roman"/>
          <w:sz w:val="24"/>
          <w:szCs w:val="24"/>
        </w:rPr>
        <w:t>, recante “Regolazione della morosità nel servizio idrico integrato”.</w:t>
      </w:r>
    </w:p>
    <w:p w14:paraId="43D1BCAB" w14:textId="77777777" w:rsidR="00605CC8" w:rsidRPr="005C66E5" w:rsidRDefault="00605CC8" w:rsidP="00605CC8">
      <w:pPr>
        <w:spacing w:line="360" w:lineRule="auto"/>
        <w:rPr>
          <w:rFonts w:ascii="Times New Roman" w:hAnsi="Times New Roman" w:cs="Times New Roman"/>
          <w:sz w:val="24"/>
          <w:szCs w:val="24"/>
        </w:rPr>
      </w:pPr>
      <w:r w:rsidRPr="005C66E5">
        <w:rPr>
          <w:rFonts w:ascii="Times New Roman" w:hAnsi="Times New Roman" w:cs="Times New Roman"/>
          <w:sz w:val="24"/>
          <w:szCs w:val="24"/>
        </w:rPr>
        <w:t xml:space="preserve">L’operatore eroga il servizio su un territorio in cui </w:t>
      </w:r>
      <w:proofErr w:type="gramStart"/>
      <w:r w:rsidRPr="005C66E5">
        <w:rPr>
          <w:rFonts w:ascii="Times New Roman" w:hAnsi="Times New Roman" w:cs="Times New Roman"/>
          <w:sz w:val="24"/>
          <w:szCs w:val="24"/>
        </w:rPr>
        <w:t xml:space="preserve">risiedono </w:t>
      </w:r>
      <w:r w:rsidRPr="005C66E5">
        <w:rPr>
          <w:rFonts w:ascii="Times New Roman" w:hAnsi="Times New Roman" w:cs="Times New Roman"/>
          <w:sz w:val="24"/>
          <w:szCs w:val="24"/>
          <w:bdr w:val="single" w:sz="4" w:space="0" w:color="auto"/>
          <w:shd w:val="clear" w:color="auto" w:fill="D9E2F3" w:themeFill="accent1" w:themeFillTint="33"/>
        </w:rPr>
        <w:t xml:space="preserve"> </w:t>
      </w:r>
      <w:r w:rsidRPr="005C66E5">
        <w:rPr>
          <w:rFonts w:ascii="Times New Roman" w:hAnsi="Times New Roman" w:cs="Times New Roman"/>
          <w:i/>
          <w:sz w:val="24"/>
          <w:szCs w:val="24"/>
          <w:bdr w:val="single" w:sz="4" w:space="0" w:color="auto"/>
          <w:shd w:val="clear" w:color="auto" w:fill="D9E2F3" w:themeFill="accent1" w:themeFillTint="33"/>
        </w:rPr>
        <w:t>indicare</w:t>
      </w:r>
      <w:proofErr w:type="gramEnd"/>
      <w:r w:rsidRPr="005C66E5">
        <w:rPr>
          <w:rFonts w:ascii="Times New Roman" w:hAnsi="Times New Roman" w:cs="Times New Roman"/>
          <w:i/>
          <w:sz w:val="24"/>
          <w:szCs w:val="24"/>
          <w:bdr w:val="single" w:sz="4" w:space="0" w:color="auto"/>
          <w:shd w:val="clear" w:color="auto" w:fill="D9E2F3" w:themeFill="accent1" w:themeFillTint="33"/>
        </w:rPr>
        <w:t xml:space="preserve"> il numero</w:t>
      </w:r>
      <w:r w:rsidRPr="005C66E5">
        <w:rPr>
          <w:rFonts w:ascii="Times New Roman" w:hAnsi="Times New Roman" w:cs="Times New Roman"/>
          <w:sz w:val="24"/>
          <w:szCs w:val="24"/>
          <w:bdr w:val="single" w:sz="4" w:space="0" w:color="auto"/>
          <w:shd w:val="clear" w:color="auto" w:fill="D9E2F3" w:themeFill="accent1" w:themeFillTint="33"/>
        </w:rPr>
        <w:t xml:space="preserve"> </w:t>
      </w:r>
      <w:r w:rsidRPr="005C66E5">
        <w:rPr>
          <w:rFonts w:ascii="Times New Roman" w:hAnsi="Times New Roman" w:cs="Times New Roman"/>
          <w:sz w:val="24"/>
          <w:szCs w:val="24"/>
        </w:rPr>
        <w:t xml:space="preserve"> abitanti e in cui risultano presenti </w:t>
      </w:r>
      <w:r w:rsidRPr="005C66E5">
        <w:rPr>
          <w:rFonts w:ascii="Times New Roman" w:hAnsi="Times New Roman" w:cs="Times New Roman"/>
          <w:i/>
          <w:sz w:val="24"/>
          <w:szCs w:val="24"/>
          <w:bdr w:val="single" w:sz="4" w:space="0" w:color="auto"/>
          <w:shd w:val="clear" w:color="auto" w:fill="D9E2F3"/>
        </w:rPr>
        <w:t xml:space="preserve"> indicare il numero </w:t>
      </w:r>
      <w:r w:rsidRPr="005C66E5">
        <w:rPr>
          <w:rFonts w:ascii="Times New Roman" w:hAnsi="Times New Roman" w:cs="Times New Roman"/>
          <w:sz w:val="24"/>
          <w:szCs w:val="24"/>
        </w:rPr>
        <w:t xml:space="preserve"> utenti finali, di cui:  </w:t>
      </w:r>
    </w:p>
    <w:p w14:paraId="603FCFB3" w14:textId="77777777" w:rsidR="00605CC8" w:rsidRPr="005C66E5" w:rsidRDefault="00605CC8" w:rsidP="00605CC8">
      <w:pPr>
        <w:pStyle w:val="Paragrafoelenco"/>
        <w:numPr>
          <w:ilvl w:val="0"/>
          <w:numId w:val="2"/>
        </w:numPr>
        <w:spacing w:line="360" w:lineRule="auto"/>
        <w:rPr>
          <w:rFonts w:ascii="Times New Roman" w:hAnsi="Times New Roman" w:cs="Times New Roman"/>
          <w:sz w:val="24"/>
          <w:szCs w:val="24"/>
        </w:rPr>
      </w:pPr>
      <w:r w:rsidRPr="005C66E5">
        <w:rPr>
          <w:rFonts w:ascii="Times New Roman" w:hAnsi="Times New Roman" w:cs="Times New Roman"/>
          <w:i/>
          <w:sz w:val="24"/>
          <w:szCs w:val="24"/>
          <w:bdr w:val="single" w:sz="4" w:space="0" w:color="auto"/>
          <w:shd w:val="clear" w:color="auto" w:fill="D9E2F3"/>
        </w:rPr>
        <w:t xml:space="preserve">indicare il </w:t>
      </w:r>
      <w:proofErr w:type="gramStart"/>
      <w:r w:rsidRPr="005C66E5">
        <w:rPr>
          <w:rFonts w:ascii="Times New Roman" w:hAnsi="Times New Roman" w:cs="Times New Roman"/>
          <w:i/>
          <w:sz w:val="24"/>
          <w:szCs w:val="24"/>
          <w:bdr w:val="single" w:sz="4" w:space="0" w:color="auto"/>
          <w:shd w:val="clear" w:color="auto" w:fill="D9E2F3"/>
        </w:rPr>
        <w:t xml:space="preserve">numero </w:t>
      </w:r>
      <w:r w:rsidRPr="005C66E5">
        <w:rPr>
          <w:rFonts w:ascii="Times New Roman" w:hAnsi="Times New Roman" w:cs="Times New Roman"/>
          <w:sz w:val="24"/>
          <w:szCs w:val="24"/>
        </w:rPr>
        <w:t xml:space="preserve"> utenti</w:t>
      </w:r>
      <w:proofErr w:type="gramEnd"/>
      <w:r w:rsidRPr="005C66E5">
        <w:rPr>
          <w:rFonts w:ascii="Times New Roman" w:hAnsi="Times New Roman" w:cs="Times New Roman"/>
          <w:sz w:val="24"/>
          <w:szCs w:val="24"/>
        </w:rPr>
        <w:t xml:space="preserve"> finali non </w:t>
      </w:r>
      <w:proofErr w:type="spellStart"/>
      <w:r w:rsidRPr="005C66E5">
        <w:rPr>
          <w:rFonts w:ascii="Times New Roman" w:hAnsi="Times New Roman" w:cs="Times New Roman"/>
          <w:sz w:val="24"/>
          <w:szCs w:val="24"/>
        </w:rPr>
        <w:t>disalimentabili</w:t>
      </w:r>
      <w:proofErr w:type="spellEnd"/>
      <w:r w:rsidRPr="005C66E5">
        <w:rPr>
          <w:rFonts w:ascii="Times New Roman" w:hAnsi="Times New Roman" w:cs="Times New Roman"/>
          <w:sz w:val="24"/>
          <w:szCs w:val="24"/>
        </w:rPr>
        <w:t xml:space="preserve"> come individuati al comma 2.1 del REMSI;</w:t>
      </w:r>
    </w:p>
    <w:p w14:paraId="0B0FEF3B" w14:textId="77777777" w:rsidR="00605CC8" w:rsidRPr="005C66E5" w:rsidRDefault="00605CC8" w:rsidP="00605CC8">
      <w:pPr>
        <w:pStyle w:val="Paragrafoelenco"/>
        <w:numPr>
          <w:ilvl w:val="0"/>
          <w:numId w:val="2"/>
        </w:numPr>
        <w:spacing w:line="360" w:lineRule="auto"/>
        <w:rPr>
          <w:rFonts w:ascii="Times New Roman" w:hAnsi="Times New Roman" w:cs="Times New Roman"/>
          <w:sz w:val="24"/>
          <w:szCs w:val="24"/>
        </w:rPr>
      </w:pPr>
      <w:r w:rsidRPr="005C66E5">
        <w:rPr>
          <w:rFonts w:ascii="Times New Roman" w:hAnsi="Times New Roman" w:cs="Times New Roman"/>
          <w:i/>
          <w:sz w:val="24"/>
          <w:szCs w:val="24"/>
          <w:bdr w:val="single" w:sz="4" w:space="0" w:color="auto"/>
          <w:shd w:val="clear" w:color="auto" w:fill="D9E2F3"/>
        </w:rPr>
        <w:t xml:space="preserve">indicare il </w:t>
      </w:r>
      <w:proofErr w:type="gramStart"/>
      <w:r w:rsidRPr="005C66E5">
        <w:rPr>
          <w:rFonts w:ascii="Times New Roman" w:hAnsi="Times New Roman" w:cs="Times New Roman"/>
          <w:i/>
          <w:sz w:val="24"/>
          <w:szCs w:val="24"/>
          <w:bdr w:val="single" w:sz="4" w:space="0" w:color="auto"/>
          <w:shd w:val="clear" w:color="auto" w:fill="D9E2F3"/>
        </w:rPr>
        <w:t xml:space="preserve">numero </w:t>
      </w:r>
      <w:r w:rsidRPr="005C66E5">
        <w:rPr>
          <w:rFonts w:ascii="Times New Roman" w:hAnsi="Times New Roman" w:cs="Times New Roman"/>
          <w:sz w:val="24"/>
          <w:szCs w:val="24"/>
        </w:rPr>
        <w:t xml:space="preserve"> utenti</w:t>
      </w:r>
      <w:proofErr w:type="gramEnd"/>
      <w:r w:rsidRPr="005C66E5">
        <w:rPr>
          <w:rFonts w:ascii="Times New Roman" w:hAnsi="Times New Roman" w:cs="Times New Roman"/>
          <w:sz w:val="24"/>
          <w:szCs w:val="24"/>
        </w:rPr>
        <w:t xml:space="preserve"> finali domestici residenti, diversi da quelli di cui al precedente alinea, per i quali in caso di morosità troverebbero, in particolare, applicazione le previsioni recate dai commi 7.2, 7.3, 7.4 e 7.5 del REMSI;</w:t>
      </w:r>
    </w:p>
    <w:p w14:paraId="7D595ECE" w14:textId="77777777" w:rsidR="00605CC8" w:rsidRPr="005C66E5" w:rsidRDefault="00605CC8" w:rsidP="00605CC8">
      <w:pPr>
        <w:pStyle w:val="Paragrafoelenco"/>
        <w:numPr>
          <w:ilvl w:val="0"/>
          <w:numId w:val="2"/>
        </w:numPr>
        <w:spacing w:line="360" w:lineRule="auto"/>
        <w:rPr>
          <w:rFonts w:ascii="Times New Roman" w:hAnsi="Times New Roman" w:cs="Times New Roman"/>
          <w:sz w:val="24"/>
          <w:szCs w:val="24"/>
        </w:rPr>
      </w:pPr>
      <w:r w:rsidRPr="005C66E5">
        <w:rPr>
          <w:rFonts w:ascii="Times New Roman" w:hAnsi="Times New Roman" w:cs="Times New Roman"/>
          <w:i/>
          <w:sz w:val="24"/>
          <w:szCs w:val="24"/>
          <w:bdr w:val="single" w:sz="4" w:space="0" w:color="auto"/>
          <w:shd w:val="clear" w:color="auto" w:fill="D9E2F3"/>
        </w:rPr>
        <w:t xml:space="preserve">indicare il </w:t>
      </w:r>
      <w:proofErr w:type="gramStart"/>
      <w:r w:rsidRPr="005C66E5">
        <w:rPr>
          <w:rFonts w:ascii="Times New Roman" w:hAnsi="Times New Roman" w:cs="Times New Roman"/>
          <w:i/>
          <w:sz w:val="24"/>
          <w:szCs w:val="24"/>
          <w:bdr w:val="single" w:sz="4" w:space="0" w:color="auto"/>
          <w:shd w:val="clear" w:color="auto" w:fill="D9E2F3"/>
        </w:rPr>
        <w:t xml:space="preserve">numero </w:t>
      </w:r>
      <w:r w:rsidRPr="005C66E5">
        <w:rPr>
          <w:rFonts w:ascii="Times New Roman" w:hAnsi="Times New Roman" w:cs="Times New Roman"/>
          <w:sz w:val="24"/>
          <w:szCs w:val="24"/>
        </w:rPr>
        <w:t xml:space="preserve"> utenze</w:t>
      </w:r>
      <w:proofErr w:type="gramEnd"/>
      <w:r w:rsidRPr="005C66E5">
        <w:rPr>
          <w:rFonts w:ascii="Times New Roman" w:hAnsi="Times New Roman" w:cs="Times New Roman"/>
          <w:sz w:val="24"/>
          <w:szCs w:val="24"/>
        </w:rPr>
        <w:t xml:space="preserve"> condominiali per le quali in caso di morosità troverebbero, in particolare, applicazione le disposizioni recate dal comma 7.6 del REMSI.</w:t>
      </w:r>
    </w:p>
    <w:p w14:paraId="689703C3" w14:textId="77777777" w:rsidR="00605CC8" w:rsidRPr="005C66E5" w:rsidRDefault="00605CC8" w:rsidP="00605CC8">
      <w:pPr>
        <w:pBdr>
          <w:top w:val="single" w:sz="4" w:space="1" w:color="auto"/>
          <w:left w:val="single" w:sz="4" w:space="4" w:color="auto"/>
          <w:bottom w:val="single" w:sz="4" w:space="1" w:color="auto"/>
          <w:right w:val="single" w:sz="4" w:space="4" w:color="auto"/>
        </w:pBdr>
        <w:shd w:val="clear" w:color="auto" w:fill="D9E2F3"/>
        <w:spacing w:line="360" w:lineRule="auto"/>
        <w:rPr>
          <w:rFonts w:ascii="Times New Roman" w:hAnsi="Times New Roman" w:cs="Times New Roman"/>
          <w:i/>
          <w:sz w:val="24"/>
          <w:szCs w:val="24"/>
        </w:rPr>
      </w:pPr>
      <w:r w:rsidRPr="005C66E5">
        <w:rPr>
          <w:rFonts w:ascii="Times New Roman" w:hAnsi="Times New Roman" w:cs="Times New Roman"/>
          <w:i/>
          <w:sz w:val="24"/>
          <w:szCs w:val="24"/>
        </w:rPr>
        <w:t xml:space="preserve">Fornire informazioni di sintesi circa </w:t>
      </w:r>
      <w:r>
        <w:rPr>
          <w:rFonts w:ascii="Times New Roman" w:hAnsi="Times New Roman" w:cs="Times New Roman"/>
          <w:i/>
          <w:sz w:val="24"/>
          <w:szCs w:val="24"/>
        </w:rPr>
        <w:t>l’applicazione delle disposizioni di cui a</w:t>
      </w:r>
      <w:r w:rsidRPr="005C66E5">
        <w:rPr>
          <w:rFonts w:ascii="Times New Roman" w:hAnsi="Times New Roman" w:cs="Times New Roman"/>
          <w:i/>
          <w:sz w:val="24"/>
          <w:szCs w:val="24"/>
        </w:rPr>
        <w:t>ll’allegato A alla deliberazione 311/2019/R/</w:t>
      </w:r>
      <w:proofErr w:type="spellStart"/>
      <w:r w:rsidRPr="005C66E5">
        <w:rPr>
          <w:rFonts w:ascii="Times New Roman" w:hAnsi="Times New Roman" w:cs="Times New Roman"/>
          <w:i/>
          <w:smallCaps/>
          <w:sz w:val="24"/>
          <w:szCs w:val="24"/>
        </w:rPr>
        <w:t>idr</w:t>
      </w:r>
      <w:proofErr w:type="spellEnd"/>
      <w:r w:rsidRPr="005C66E5">
        <w:rPr>
          <w:rFonts w:ascii="Times New Roman" w:hAnsi="Times New Roman" w:cs="Times New Roman"/>
          <w:i/>
          <w:smallCaps/>
          <w:sz w:val="24"/>
          <w:szCs w:val="24"/>
        </w:rPr>
        <w:t>,</w:t>
      </w:r>
      <w:r w:rsidRPr="005C66E5">
        <w:rPr>
          <w:rFonts w:ascii="Times New Roman" w:hAnsi="Times New Roman" w:cs="Times New Roman"/>
          <w:i/>
          <w:sz w:val="24"/>
          <w:szCs w:val="24"/>
        </w:rPr>
        <w:t xml:space="preserve"> REMSI (a far data dal </w:t>
      </w:r>
      <w:proofErr w:type="gramStart"/>
      <w:r w:rsidRPr="005C66E5">
        <w:rPr>
          <w:rFonts w:ascii="Times New Roman" w:hAnsi="Times New Roman" w:cs="Times New Roman"/>
          <w:i/>
          <w:sz w:val="24"/>
          <w:szCs w:val="24"/>
        </w:rPr>
        <w:t>1 gennaio</w:t>
      </w:r>
      <w:proofErr w:type="gramEnd"/>
      <w:r w:rsidRPr="005C66E5">
        <w:rPr>
          <w:rFonts w:ascii="Times New Roman" w:hAnsi="Times New Roman" w:cs="Times New Roman"/>
          <w:i/>
          <w:sz w:val="24"/>
          <w:szCs w:val="24"/>
        </w:rPr>
        <w:t xml:space="preserve"> 202</w:t>
      </w:r>
      <w:r>
        <w:rPr>
          <w:rFonts w:ascii="Times New Roman" w:hAnsi="Times New Roman" w:cs="Times New Roman"/>
          <w:i/>
          <w:sz w:val="24"/>
          <w:szCs w:val="24"/>
        </w:rPr>
        <w:t>1</w:t>
      </w:r>
      <w:r w:rsidRPr="005C66E5">
        <w:rPr>
          <w:rFonts w:ascii="Times New Roman" w:hAnsi="Times New Roman" w:cs="Times New Roman"/>
          <w:i/>
          <w:sz w:val="24"/>
          <w:szCs w:val="24"/>
        </w:rPr>
        <w:t>)</w:t>
      </w:r>
      <w:r>
        <w:rPr>
          <w:rFonts w:ascii="Times New Roman" w:hAnsi="Times New Roman" w:cs="Times New Roman"/>
          <w:i/>
          <w:sz w:val="24"/>
          <w:szCs w:val="24"/>
        </w:rPr>
        <w:t>.</w:t>
      </w:r>
    </w:p>
    <w:p w14:paraId="047844A8" w14:textId="77777777" w:rsidR="00605CC8" w:rsidRPr="00526096" w:rsidRDefault="00605CC8" w:rsidP="00605CC8">
      <w:pPr>
        <w:pStyle w:val="Titolo1"/>
        <w:numPr>
          <w:ilvl w:val="0"/>
          <w:numId w:val="0"/>
        </w:numPr>
        <w:ind w:left="432"/>
        <w:rPr>
          <w:rFonts w:cs="Times New Roman"/>
          <w:sz w:val="24"/>
          <w:szCs w:val="24"/>
        </w:rPr>
      </w:pPr>
      <w:bookmarkStart w:id="1" w:name="_Toc56439197"/>
    </w:p>
    <w:p w14:paraId="14EE9B54" w14:textId="77777777" w:rsidR="00605CC8" w:rsidRPr="005C66E5" w:rsidRDefault="00605CC8" w:rsidP="00605CC8">
      <w:pPr>
        <w:pStyle w:val="Titolo1"/>
        <w:rPr>
          <w:rFonts w:cs="Times New Roman"/>
          <w:sz w:val="24"/>
          <w:szCs w:val="24"/>
        </w:rPr>
      </w:pPr>
      <w:r w:rsidRPr="00FA122F">
        <w:rPr>
          <w:rFonts w:cs="Times New Roman"/>
        </w:rPr>
        <w:t xml:space="preserve">Ricognizione dei casi in cui la limitazione della fornitura non sia risultata tecnicamente </w:t>
      </w:r>
      <w:bookmarkEnd w:id="1"/>
      <w:r w:rsidRPr="00FA122F">
        <w:rPr>
          <w:rFonts w:cs="Times New Roman"/>
        </w:rPr>
        <w:t>fattibile</w:t>
      </w:r>
    </w:p>
    <w:p w14:paraId="20C9A522" w14:textId="77777777" w:rsidR="00605CC8" w:rsidRPr="005C66E5" w:rsidRDefault="00605CC8" w:rsidP="00605CC8">
      <w:pPr>
        <w:keepNext/>
        <w:pBdr>
          <w:top w:val="single" w:sz="4" w:space="1" w:color="auto"/>
          <w:left w:val="single" w:sz="4" w:space="4" w:color="auto"/>
          <w:bottom w:val="single" w:sz="4" w:space="1" w:color="auto"/>
          <w:right w:val="single" w:sz="4" w:space="4" w:color="auto"/>
        </w:pBdr>
        <w:shd w:val="clear" w:color="auto" w:fill="D9E2F3"/>
        <w:spacing w:line="360" w:lineRule="auto"/>
        <w:rPr>
          <w:rFonts w:ascii="Times New Roman" w:hAnsi="Times New Roman" w:cs="Times New Roman"/>
          <w:i/>
          <w:sz w:val="24"/>
          <w:szCs w:val="24"/>
        </w:rPr>
      </w:pPr>
      <w:r w:rsidRPr="005C66E5">
        <w:rPr>
          <w:rFonts w:ascii="Times New Roman" w:hAnsi="Times New Roman" w:cs="Times New Roman"/>
          <w:i/>
          <w:sz w:val="24"/>
          <w:szCs w:val="24"/>
        </w:rPr>
        <w:t xml:space="preserve">Con riferimento alle </w:t>
      </w:r>
      <w:r w:rsidRPr="005C66E5">
        <w:rPr>
          <w:rFonts w:ascii="Times New Roman" w:hAnsi="Times New Roman" w:cs="Times New Roman"/>
          <w:b/>
          <w:i/>
          <w:sz w:val="24"/>
          <w:szCs w:val="24"/>
        </w:rPr>
        <w:t xml:space="preserve">utenze domestiche residenti </w:t>
      </w:r>
      <w:r w:rsidRPr="005C66E5">
        <w:rPr>
          <w:rFonts w:ascii="Times New Roman" w:hAnsi="Times New Roman" w:cs="Times New Roman"/>
          <w:i/>
          <w:sz w:val="24"/>
          <w:szCs w:val="24"/>
        </w:rPr>
        <w:t xml:space="preserve">- diverse da quelle non </w:t>
      </w:r>
      <w:proofErr w:type="spellStart"/>
      <w:r w:rsidRPr="005C66E5">
        <w:rPr>
          <w:rFonts w:ascii="Times New Roman" w:hAnsi="Times New Roman" w:cs="Times New Roman"/>
          <w:i/>
          <w:sz w:val="24"/>
          <w:szCs w:val="24"/>
        </w:rPr>
        <w:t>disalimentabili</w:t>
      </w:r>
      <w:proofErr w:type="spellEnd"/>
      <w:r w:rsidRPr="005C66E5">
        <w:rPr>
          <w:rFonts w:ascii="Times New Roman" w:hAnsi="Times New Roman" w:cs="Times New Roman"/>
          <w:i/>
          <w:sz w:val="24"/>
          <w:szCs w:val="24"/>
        </w:rPr>
        <w:t xml:space="preserve"> - (il cui numero complessivo è riportato nel precedente Capitolo 1), indicare in particolare:</w:t>
      </w:r>
    </w:p>
    <w:p w14:paraId="72D0C4FE" w14:textId="77777777" w:rsidR="00605CC8" w:rsidRPr="005C66E5" w:rsidRDefault="00605CC8" w:rsidP="00605CC8">
      <w:pPr>
        <w:keepNext/>
        <w:pBdr>
          <w:top w:val="single" w:sz="4" w:space="1" w:color="auto"/>
          <w:left w:val="single" w:sz="4" w:space="4" w:color="auto"/>
          <w:bottom w:val="single" w:sz="4" w:space="1" w:color="auto"/>
          <w:right w:val="single" w:sz="4" w:space="4" w:color="auto"/>
        </w:pBdr>
        <w:shd w:val="clear" w:color="auto" w:fill="D9E2F3"/>
        <w:spacing w:line="360" w:lineRule="auto"/>
        <w:rPr>
          <w:rFonts w:ascii="Times New Roman" w:hAnsi="Times New Roman" w:cs="Times New Roman"/>
          <w:i/>
          <w:sz w:val="24"/>
          <w:szCs w:val="24"/>
        </w:rPr>
      </w:pPr>
      <w:r w:rsidRPr="005C66E5">
        <w:rPr>
          <w:rFonts w:ascii="Times New Roman" w:hAnsi="Times New Roman" w:cs="Times New Roman"/>
          <w:i/>
          <w:sz w:val="24"/>
          <w:szCs w:val="24"/>
        </w:rPr>
        <w:t>a) il numero di casi in cui siano decorsi i termini previsti senza che l’utente (destinatario di comunicazione di costituzione in mora e per il quale sia stato escusso il deposito cauzionale) abbia estinto il proprio debito, rinvenendosi le condizioni di cui al comma 7.1 del REMSI;</w:t>
      </w:r>
    </w:p>
    <w:p w14:paraId="4E223497" w14:textId="77777777" w:rsidR="00605CC8" w:rsidRPr="005C66E5" w:rsidRDefault="00605CC8" w:rsidP="00605CC8">
      <w:pPr>
        <w:keepNext/>
        <w:pBdr>
          <w:top w:val="single" w:sz="4" w:space="1" w:color="auto"/>
          <w:left w:val="single" w:sz="4" w:space="4" w:color="auto"/>
          <w:bottom w:val="single" w:sz="4" w:space="1" w:color="auto"/>
          <w:right w:val="single" w:sz="4" w:space="4" w:color="auto"/>
        </w:pBdr>
        <w:shd w:val="clear" w:color="auto" w:fill="D9E2F3"/>
        <w:spacing w:line="360" w:lineRule="auto"/>
        <w:rPr>
          <w:rFonts w:ascii="Times New Roman" w:hAnsi="Times New Roman" w:cs="Times New Roman"/>
          <w:i/>
          <w:sz w:val="24"/>
          <w:szCs w:val="24"/>
        </w:rPr>
      </w:pPr>
      <w:r w:rsidRPr="005C66E5">
        <w:rPr>
          <w:rFonts w:ascii="Times New Roman" w:hAnsi="Times New Roman" w:cs="Times New Roman"/>
          <w:i/>
          <w:sz w:val="24"/>
          <w:szCs w:val="24"/>
        </w:rPr>
        <w:t xml:space="preserve"> b) il numero di casi in cui si sia verificata la condizione (di cui al comma 7.2, lett. a, del REMSI) di mancato pagamento di fatture che complessivamente siano superiori a un importo pari al corrispettivo annuo dovuto dall’utente moroso relativamente alla fascia di consumo a tariffa agevolata;</w:t>
      </w:r>
    </w:p>
    <w:p w14:paraId="1148697D" w14:textId="77777777" w:rsidR="00605CC8" w:rsidRPr="005C66E5" w:rsidRDefault="00605CC8" w:rsidP="00605CC8">
      <w:pPr>
        <w:keepNext/>
        <w:pBdr>
          <w:top w:val="single" w:sz="4" w:space="1" w:color="auto"/>
          <w:left w:val="single" w:sz="4" w:space="4" w:color="auto"/>
          <w:bottom w:val="single" w:sz="4" w:space="1" w:color="auto"/>
          <w:right w:val="single" w:sz="4" w:space="4" w:color="auto"/>
        </w:pBdr>
        <w:shd w:val="clear" w:color="auto" w:fill="D9E2F3"/>
        <w:spacing w:line="360" w:lineRule="auto"/>
        <w:rPr>
          <w:rFonts w:ascii="Times New Roman" w:hAnsi="Times New Roman" w:cs="Times New Roman"/>
          <w:i/>
          <w:sz w:val="24"/>
          <w:szCs w:val="24"/>
        </w:rPr>
      </w:pPr>
      <w:r w:rsidRPr="005C66E5">
        <w:rPr>
          <w:rFonts w:ascii="Times New Roman" w:hAnsi="Times New Roman" w:cs="Times New Roman"/>
          <w:i/>
          <w:sz w:val="24"/>
          <w:szCs w:val="24"/>
        </w:rPr>
        <w:t>c) fra i casi enucleati alla precedente lett. b), il numero di casi in cui si sia proceduto alla limitazione e il numero di quelli in cui non sia risultato tecnicamente fattibile l’intervento di limitazione della fornitura, volto ad assicurare un flusso di acqua erogata tale da garantire il quantitativo minimo vitale (50 litri/abitante/giorno);</w:t>
      </w:r>
    </w:p>
    <w:p w14:paraId="220391B7" w14:textId="77777777" w:rsidR="00605CC8" w:rsidRPr="005C66E5" w:rsidRDefault="00605CC8" w:rsidP="00605CC8">
      <w:pPr>
        <w:pBdr>
          <w:top w:val="single" w:sz="4" w:space="1" w:color="auto"/>
          <w:left w:val="single" w:sz="4" w:space="4" w:color="auto"/>
          <w:bottom w:val="single" w:sz="4" w:space="1" w:color="auto"/>
          <w:right w:val="single" w:sz="4" w:space="4" w:color="auto"/>
        </w:pBdr>
        <w:shd w:val="clear" w:color="auto" w:fill="D9E2F3"/>
        <w:spacing w:line="360" w:lineRule="auto"/>
        <w:rPr>
          <w:rFonts w:ascii="Times New Roman" w:hAnsi="Times New Roman" w:cs="Times New Roman"/>
          <w:i/>
          <w:sz w:val="24"/>
          <w:szCs w:val="24"/>
        </w:rPr>
      </w:pPr>
      <w:r w:rsidRPr="005C66E5">
        <w:rPr>
          <w:rFonts w:ascii="Times New Roman" w:hAnsi="Times New Roman" w:cs="Times New Roman"/>
          <w:i/>
          <w:sz w:val="24"/>
          <w:szCs w:val="24"/>
        </w:rPr>
        <w:t>d) una sintesi delle motivazioni comunicate dal gestore (ai sensi di quanto previsto al comma 7.2, lett. c, del REMSI) a giustificazione dell’eventuale impossibilità tecnica di addivenire alla limitazione della fornitura.</w:t>
      </w:r>
    </w:p>
    <w:p w14:paraId="7DF9E0E2" w14:textId="77777777" w:rsidR="00605CC8" w:rsidRPr="005C66E5" w:rsidRDefault="00605CC8" w:rsidP="00605CC8">
      <w:pPr>
        <w:spacing w:line="360" w:lineRule="auto"/>
        <w:rPr>
          <w:rFonts w:ascii="Times New Roman" w:hAnsi="Times New Roman" w:cs="Times New Roman"/>
          <w:sz w:val="24"/>
          <w:szCs w:val="24"/>
        </w:rPr>
      </w:pPr>
    </w:p>
    <w:p w14:paraId="76354246" w14:textId="77777777" w:rsidR="00605CC8" w:rsidRPr="005C66E5" w:rsidRDefault="00605CC8" w:rsidP="00605CC8">
      <w:pPr>
        <w:keepNext/>
        <w:pBdr>
          <w:top w:val="single" w:sz="4" w:space="1" w:color="auto"/>
          <w:left w:val="single" w:sz="4" w:space="4" w:color="auto"/>
          <w:bottom w:val="single" w:sz="4" w:space="1" w:color="auto"/>
          <w:right w:val="single" w:sz="4" w:space="4" w:color="auto"/>
        </w:pBdr>
        <w:shd w:val="clear" w:color="auto" w:fill="D9E2F3"/>
        <w:spacing w:line="360" w:lineRule="auto"/>
        <w:rPr>
          <w:rFonts w:ascii="Times New Roman" w:hAnsi="Times New Roman" w:cs="Times New Roman"/>
          <w:i/>
          <w:sz w:val="24"/>
          <w:szCs w:val="24"/>
        </w:rPr>
      </w:pPr>
      <w:r w:rsidRPr="005C66E5">
        <w:rPr>
          <w:rFonts w:ascii="Times New Roman" w:hAnsi="Times New Roman" w:cs="Times New Roman"/>
          <w:i/>
          <w:sz w:val="24"/>
          <w:szCs w:val="24"/>
        </w:rPr>
        <w:t xml:space="preserve">Con riferimento alle </w:t>
      </w:r>
      <w:r w:rsidRPr="005C66E5">
        <w:rPr>
          <w:rFonts w:ascii="Times New Roman" w:hAnsi="Times New Roman" w:cs="Times New Roman"/>
          <w:b/>
          <w:i/>
          <w:sz w:val="24"/>
          <w:szCs w:val="24"/>
        </w:rPr>
        <w:t xml:space="preserve">utenze condominiali </w:t>
      </w:r>
      <w:r w:rsidRPr="005C66E5">
        <w:rPr>
          <w:rFonts w:ascii="Times New Roman" w:hAnsi="Times New Roman" w:cs="Times New Roman"/>
          <w:i/>
          <w:sz w:val="24"/>
          <w:szCs w:val="24"/>
        </w:rPr>
        <w:t>(il cui numero complessivo è riportato nel precedente Capitolo 1), indicare in particolare:</w:t>
      </w:r>
    </w:p>
    <w:p w14:paraId="743C6127" w14:textId="77777777" w:rsidR="00605CC8" w:rsidRPr="005C66E5" w:rsidRDefault="00605CC8" w:rsidP="00605CC8">
      <w:pPr>
        <w:pBdr>
          <w:top w:val="single" w:sz="4" w:space="1" w:color="auto"/>
          <w:left w:val="single" w:sz="4" w:space="4" w:color="auto"/>
          <w:bottom w:val="single" w:sz="4" w:space="1" w:color="auto"/>
          <w:right w:val="single" w:sz="4" w:space="4" w:color="auto"/>
        </w:pBdr>
        <w:shd w:val="clear" w:color="auto" w:fill="D9E2F3"/>
        <w:spacing w:line="360" w:lineRule="auto"/>
        <w:rPr>
          <w:rFonts w:ascii="Times New Roman" w:hAnsi="Times New Roman" w:cs="Times New Roman"/>
          <w:i/>
          <w:sz w:val="24"/>
          <w:szCs w:val="24"/>
        </w:rPr>
      </w:pPr>
      <w:r w:rsidRPr="005C66E5">
        <w:rPr>
          <w:rFonts w:ascii="Times New Roman" w:hAnsi="Times New Roman" w:cs="Times New Roman"/>
          <w:i/>
          <w:sz w:val="24"/>
          <w:szCs w:val="24"/>
        </w:rPr>
        <w:t>a) il numero di casi in cui siano decorsi i termini previsti senza che l’utente (destinatario di comunicazione di costituzione in mora e per il quale sia stato escusso il deposito cauzionale) abbia estinto il proprio debito, rinvenendosi le condizioni di cui al comma 7.1 del REMSI;</w:t>
      </w:r>
    </w:p>
    <w:p w14:paraId="4B67FA65" w14:textId="77777777" w:rsidR="00605CC8" w:rsidRPr="005C66E5" w:rsidRDefault="00605CC8" w:rsidP="00605CC8">
      <w:pPr>
        <w:keepNext/>
        <w:pBdr>
          <w:top w:val="single" w:sz="4" w:space="1" w:color="auto"/>
          <w:left w:val="single" w:sz="4" w:space="4" w:color="auto"/>
          <w:bottom w:val="single" w:sz="4" w:space="1" w:color="auto"/>
          <w:right w:val="single" w:sz="4" w:space="4" w:color="auto"/>
        </w:pBdr>
        <w:shd w:val="clear" w:color="auto" w:fill="D9E2F3"/>
        <w:spacing w:line="360" w:lineRule="auto"/>
        <w:rPr>
          <w:rFonts w:ascii="Times New Roman" w:hAnsi="Times New Roman" w:cs="Times New Roman"/>
          <w:i/>
          <w:sz w:val="24"/>
          <w:szCs w:val="24"/>
        </w:rPr>
      </w:pPr>
      <w:r w:rsidRPr="005C66E5">
        <w:rPr>
          <w:rFonts w:ascii="Times New Roman" w:hAnsi="Times New Roman" w:cs="Times New Roman"/>
          <w:i/>
          <w:sz w:val="24"/>
          <w:szCs w:val="24"/>
        </w:rPr>
        <w:t>b) il numero di casi in cui sia stata attivata la procedura di limitazione, sospensione ovvero disattivazione della fornitura idrica, nel rispetto delle condizioni di cui al comma 7.6 del REMSI;</w:t>
      </w:r>
    </w:p>
    <w:p w14:paraId="6EFDDDD0" w14:textId="77777777" w:rsidR="00605CC8" w:rsidRPr="005C66E5" w:rsidRDefault="00605CC8" w:rsidP="00605CC8">
      <w:pPr>
        <w:keepNext/>
        <w:pBdr>
          <w:top w:val="single" w:sz="4" w:space="1" w:color="auto"/>
          <w:left w:val="single" w:sz="4" w:space="4" w:color="auto"/>
          <w:bottom w:val="single" w:sz="4" w:space="1" w:color="auto"/>
          <w:right w:val="single" w:sz="4" w:space="4" w:color="auto"/>
        </w:pBdr>
        <w:shd w:val="clear" w:color="auto" w:fill="D9E2F3"/>
        <w:spacing w:line="360" w:lineRule="auto"/>
        <w:rPr>
          <w:rFonts w:ascii="Times New Roman" w:hAnsi="Times New Roman" w:cs="Times New Roman"/>
          <w:i/>
          <w:sz w:val="24"/>
          <w:szCs w:val="24"/>
        </w:rPr>
      </w:pPr>
      <w:r w:rsidRPr="005C66E5">
        <w:rPr>
          <w:rFonts w:ascii="Times New Roman" w:hAnsi="Times New Roman" w:cs="Times New Roman"/>
          <w:i/>
          <w:sz w:val="24"/>
          <w:szCs w:val="24"/>
        </w:rPr>
        <w:t xml:space="preserve">c) le azioni poste in essere dall’Ente di governo dell’ambito (e le conseguenti attività avviate dal gestore) per promuovere l’installazione di un misuratore per ogni singola unità immobiliare, al fine di rendere applicabili procedure di </w:t>
      </w:r>
      <w:proofErr w:type="spellStart"/>
      <w:r w:rsidRPr="005C66E5">
        <w:rPr>
          <w:rFonts w:ascii="Times New Roman" w:hAnsi="Times New Roman" w:cs="Times New Roman"/>
          <w:i/>
          <w:sz w:val="24"/>
          <w:szCs w:val="24"/>
        </w:rPr>
        <w:t>disalimentazione</w:t>
      </w:r>
      <w:proofErr w:type="spellEnd"/>
      <w:r w:rsidRPr="005C66E5">
        <w:rPr>
          <w:rFonts w:ascii="Times New Roman" w:hAnsi="Times New Roman" w:cs="Times New Roman"/>
          <w:i/>
          <w:sz w:val="24"/>
          <w:szCs w:val="24"/>
        </w:rPr>
        <w:t xml:space="preserve"> selettiva, tali da consentire un rafforzamento delle tutele per le utenze domestiche residenti e in particolare di coloro che versano in condizione di disagio economico e sociale ancorché morosi, ai sensi di quanto previsto dal comma 7.7 del REMSI;</w:t>
      </w:r>
    </w:p>
    <w:p w14:paraId="1C336EB3" w14:textId="77777777" w:rsidR="00605CC8" w:rsidRPr="00FA122F" w:rsidRDefault="00605CC8" w:rsidP="00605CC8">
      <w:pPr>
        <w:keepNext/>
        <w:pBdr>
          <w:top w:val="single" w:sz="4" w:space="1" w:color="auto"/>
          <w:left w:val="single" w:sz="4" w:space="4" w:color="auto"/>
          <w:bottom w:val="single" w:sz="4" w:space="1" w:color="auto"/>
          <w:right w:val="single" w:sz="4" w:space="4" w:color="auto"/>
        </w:pBdr>
        <w:shd w:val="clear" w:color="auto" w:fill="D9E2F3"/>
        <w:spacing w:line="360" w:lineRule="auto"/>
        <w:rPr>
          <w:rFonts w:ascii="Times New Roman" w:hAnsi="Times New Roman" w:cs="Times New Roman"/>
          <w:i/>
        </w:rPr>
      </w:pPr>
      <w:r w:rsidRPr="005C66E5">
        <w:rPr>
          <w:rFonts w:ascii="Times New Roman" w:hAnsi="Times New Roman" w:cs="Times New Roman"/>
          <w:i/>
          <w:sz w:val="24"/>
          <w:szCs w:val="24"/>
        </w:rPr>
        <w:t>d) le eventuali ragioni che, essendo alla base di una mancata fattibilità tecnica, ostacolino (in tutto o in parte) il perseguimento delle finalità di cui al precedente alinea</w:t>
      </w:r>
      <w:r w:rsidRPr="00FA122F">
        <w:rPr>
          <w:rFonts w:ascii="Times New Roman" w:hAnsi="Times New Roman" w:cs="Times New Roman"/>
          <w:i/>
        </w:rPr>
        <w:t xml:space="preserve">. </w:t>
      </w:r>
    </w:p>
    <w:p w14:paraId="7C2A7F7F" w14:textId="77777777" w:rsidR="00605CC8" w:rsidRPr="00FA122F" w:rsidRDefault="00605CC8" w:rsidP="00605CC8">
      <w:pPr>
        <w:spacing w:line="360" w:lineRule="auto"/>
        <w:rPr>
          <w:rFonts w:ascii="Times New Roman" w:hAnsi="Times New Roman" w:cs="Times New Roman"/>
        </w:rPr>
      </w:pPr>
    </w:p>
    <w:p w14:paraId="056A2D5E" w14:textId="77777777" w:rsidR="00605CC8" w:rsidRPr="00FA122F" w:rsidRDefault="00605CC8" w:rsidP="00605CC8">
      <w:pPr>
        <w:pStyle w:val="Titolo1"/>
        <w:keepLines/>
        <w:rPr>
          <w:rFonts w:cs="Times New Roman"/>
        </w:rPr>
      </w:pPr>
      <w:bookmarkStart w:id="2" w:name="_Toc56439198"/>
      <w:r w:rsidRPr="00FA122F">
        <w:rPr>
          <w:rFonts w:cs="Times New Roman"/>
        </w:rPr>
        <w:t>Stima degli oneri per il superamento degli impedimenti tecnici</w:t>
      </w:r>
      <w:bookmarkEnd w:id="2"/>
    </w:p>
    <w:p w14:paraId="555B16EF" w14:textId="77777777" w:rsidR="00605CC8" w:rsidRPr="005C66E5" w:rsidRDefault="00605CC8" w:rsidP="00605CC8">
      <w:pPr>
        <w:keepNext/>
        <w:pBdr>
          <w:top w:val="single" w:sz="4" w:space="1" w:color="auto"/>
          <w:left w:val="single" w:sz="4" w:space="4" w:color="auto"/>
          <w:bottom w:val="single" w:sz="4" w:space="1" w:color="auto"/>
          <w:right w:val="single" w:sz="4" w:space="4" w:color="auto"/>
        </w:pBdr>
        <w:shd w:val="clear" w:color="auto" w:fill="D9E2F3"/>
        <w:spacing w:line="360" w:lineRule="auto"/>
        <w:rPr>
          <w:rFonts w:ascii="Times New Roman" w:hAnsi="Times New Roman" w:cs="Times New Roman"/>
          <w:i/>
          <w:sz w:val="24"/>
          <w:szCs w:val="24"/>
        </w:rPr>
      </w:pPr>
      <w:r w:rsidRPr="005C66E5">
        <w:rPr>
          <w:rFonts w:ascii="Times New Roman" w:hAnsi="Times New Roman" w:cs="Times New Roman"/>
          <w:i/>
          <w:sz w:val="24"/>
          <w:szCs w:val="24"/>
        </w:rPr>
        <w:t>Fornire indicazione:</w:t>
      </w:r>
    </w:p>
    <w:p w14:paraId="228BB9F9" w14:textId="77777777" w:rsidR="00605CC8" w:rsidRPr="005C66E5" w:rsidRDefault="00605CC8" w:rsidP="00605CC8">
      <w:pPr>
        <w:keepNext/>
        <w:pBdr>
          <w:top w:val="single" w:sz="4" w:space="1" w:color="auto"/>
          <w:left w:val="single" w:sz="4" w:space="4" w:color="auto"/>
          <w:bottom w:val="single" w:sz="4" w:space="1" w:color="auto"/>
          <w:right w:val="single" w:sz="4" w:space="4" w:color="auto"/>
        </w:pBdr>
        <w:shd w:val="clear" w:color="auto" w:fill="D9E2F3"/>
        <w:spacing w:line="360" w:lineRule="auto"/>
        <w:rPr>
          <w:rFonts w:ascii="Times New Roman" w:hAnsi="Times New Roman" w:cs="Times New Roman"/>
          <w:i/>
          <w:sz w:val="24"/>
          <w:szCs w:val="24"/>
        </w:rPr>
      </w:pPr>
      <w:r w:rsidRPr="005C66E5">
        <w:rPr>
          <w:rFonts w:ascii="Times New Roman" w:hAnsi="Times New Roman" w:cs="Times New Roman"/>
          <w:i/>
          <w:sz w:val="24"/>
          <w:szCs w:val="24"/>
        </w:rPr>
        <w:t xml:space="preserve">a) delle attività e delle soluzioni necessarie al superamento degli impedimenti tecnici eventualmente rappresentati nel precedente Capitolo 2; </w:t>
      </w:r>
    </w:p>
    <w:p w14:paraId="656A558E" w14:textId="77777777" w:rsidR="00605CC8" w:rsidRPr="005C66E5" w:rsidRDefault="00605CC8" w:rsidP="00605CC8">
      <w:pPr>
        <w:pBdr>
          <w:top w:val="single" w:sz="4" w:space="1" w:color="auto"/>
          <w:left w:val="single" w:sz="4" w:space="4" w:color="auto"/>
          <w:bottom w:val="single" w:sz="4" w:space="1" w:color="auto"/>
          <w:right w:val="single" w:sz="4" w:space="4" w:color="auto"/>
        </w:pBdr>
        <w:shd w:val="clear" w:color="auto" w:fill="D9E2F3"/>
        <w:spacing w:line="360" w:lineRule="auto"/>
        <w:rPr>
          <w:rFonts w:ascii="Times New Roman" w:hAnsi="Times New Roman" w:cs="Times New Roman"/>
          <w:i/>
          <w:sz w:val="24"/>
          <w:szCs w:val="24"/>
        </w:rPr>
      </w:pPr>
      <w:r w:rsidRPr="005C66E5">
        <w:rPr>
          <w:rFonts w:ascii="Times New Roman" w:hAnsi="Times New Roman" w:cs="Times New Roman"/>
          <w:i/>
          <w:sz w:val="24"/>
          <w:szCs w:val="24"/>
        </w:rPr>
        <w:t>b) di una stima dei costi connessi alle attività sub a);</w:t>
      </w:r>
    </w:p>
    <w:p w14:paraId="3B610918" w14:textId="77777777" w:rsidR="00605CC8" w:rsidRPr="005C66E5" w:rsidRDefault="00605CC8" w:rsidP="00605CC8">
      <w:pPr>
        <w:pBdr>
          <w:top w:val="single" w:sz="4" w:space="1" w:color="auto"/>
          <w:left w:val="single" w:sz="4" w:space="4" w:color="auto"/>
          <w:bottom w:val="single" w:sz="4" w:space="1" w:color="auto"/>
          <w:right w:val="single" w:sz="4" w:space="4" w:color="auto"/>
        </w:pBdr>
        <w:shd w:val="clear" w:color="auto" w:fill="D9E2F3"/>
        <w:spacing w:line="360" w:lineRule="auto"/>
        <w:rPr>
          <w:rFonts w:ascii="Times New Roman" w:hAnsi="Times New Roman" w:cs="Times New Roman"/>
          <w:i/>
          <w:sz w:val="24"/>
          <w:szCs w:val="24"/>
        </w:rPr>
      </w:pPr>
      <w:r w:rsidRPr="005C66E5">
        <w:rPr>
          <w:rFonts w:ascii="Times New Roman" w:hAnsi="Times New Roman" w:cs="Times New Roman"/>
          <w:i/>
          <w:sz w:val="24"/>
          <w:szCs w:val="24"/>
        </w:rPr>
        <w:t>c) delle eventuali criticità (anche in termini di adempimenti amministrativi) rinvenibili nel pertinente territorio relativamente al tema in oggetto;</w:t>
      </w:r>
    </w:p>
    <w:p w14:paraId="14A6B5C3" w14:textId="77777777" w:rsidR="00605CC8" w:rsidRPr="00FA122F" w:rsidRDefault="00605CC8" w:rsidP="00605CC8">
      <w:pPr>
        <w:pBdr>
          <w:top w:val="single" w:sz="4" w:space="1" w:color="auto"/>
          <w:left w:val="single" w:sz="4" w:space="4" w:color="auto"/>
          <w:bottom w:val="single" w:sz="4" w:space="1" w:color="auto"/>
          <w:right w:val="single" w:sz="4" w:space="4" w:color="auto"/>
        </w:pBdr>
        <w:shd w:val="clear" w:color="auto" w:fill="D9E2F3"/>
        <w:spacing w:line="360" w:lineRule="auto"/>
        <w:rPr>
          <w:rFonts w:ascii="Times New Roman" w:hAnsi="Times New Roman" w:cs="Times New Roman"/>
          <w:i/>
        </w:rPr>
      </w:pPr>
      <w:r w:rsidRPr="005C66E5">
        <w:rPr>
          <w:rFonts w:ascii="Times New Roman" w:hAnsi="Times New Roman" w:cs="Times New Roman"/>
          <w:i/>
          <w:sz w:val="24"/>
          <w:szCs w:val="24"/>
        </w:rPr>
        <w:t>d) delle tempistiche ipotizzabili per il superamento dei menzionati impedimenti</w:t>
      </w:r>
      <w:r w:rsidRPr="00FA122F">
        <w:rPr>
          <w:rFonts w:ascii="Times New Roman" w:hAnsi="Times New Roman" w:cs="Times New Roman"/>
          <w:i/>
        </w:rPr>
        <w:t xml:space="preserve"> tecnici.</w:t>
      </w:r>
    </w:p>
    <w:p w14:paraId="5A97BDB9" w14:textId="77777777" w:rsidR="00605CC8" w:rsidRPr="00FA122F" w:rsidRDefault="00605CC8" w:rsidP="00605CC8">
      <w:pPr>
        <w:spacing w:line="360" w:lineRule="auto"/>
        <w:rPr>
          <w:rFonts w:ascii="Times New Roman" w:hAnsi="Times New Roman" w:cs="Times New Roman"/>
        </w:rPr>
      </w:pPr>
    </w:p>
    <w:p w14:paraId="0A5651C7" w14:textId="77777777" w:rsidR="00605CC8" w:rsidRPr="00FA122F" w:rsidRDefault="00605CC8" w:rsidP="00605CC8">
      <w:pPr>
        <w:pStyle w:val="Titolo1"/>
        <w:rPr>
          <w:rFonts w:cs="Times New Roman"/>
        </w:rPr>
      </w:pPr>
      <w:bookmarkStart w:id="3" w:name="_Toc56439199"/>
      <w:r w:rsidRPr="00FA122F">
        <w:rPr>
          <w:rFonts w:cs="Times New Roman"/>
        </w:rPr>
        <w:t>Esiti dei controlli effettuati dal soggetto competente</w:t>
      </w:r>
      <w:bookmarkEnd w:id="3"/>
    </w:p>
    <w:p w14:paraId="683C3F2C" w14:textId="2C8C0487" w:rsidR="00DF11A3" w:rsidRDefault="00605CC8" w:rsidP="00605CC8">
      <w:r w:rsidRPr="005C66E5">
        <w:rPr>
          <w:rFonts w:ascii="Times New Roman" w:hAnsi="Times New Roman" w:cs="Times New Roman"/>
          <w:i/>
          <w:sz w:val="24"/>
          <w:szCs w:val="24"/>
        </w:rPr>
        <w:t>Descrivere gli esiti dei controlli, anche a campione,</w:t>
      </w:r>
      <w:r w:rsidRPr="005C66E5">
        <w:rPr>
          <w:i/>
          <w:sz w:val="24"/>
          <w:szCs w:val="24"/>
        </w:rPr>
        <w:t xml:space="preserve"> </w:t>
      </w:r>
      <w:r w:rsidRPr="005C66E5">
        <w:rPr>
          <w:rFonts w:ascii="Times New Roman" w:hAnsi="Times New Roman" w:cs="Times New Roman"/>
          <w:i/>
          <w:sz w:val="24"/>
          <w:szCs w:val="24"/>
        </w:rPr>
        <w:t>effettuati dall’Ente di governo dell’ambito, ai sensi del comma 2.2 della deliberazione 311/2019/R/</w:t>
      </w:r>
      <w:proofErr w:type="spellStart"/>
      <w:r w:rsidRPr="005C66E5">
        <w:rPr>
          <w:rFonts w:ascii="Times New Roman" w:hAnsi="Times New Roman" w:cs="Times New Roman"/>
          <w:i/>
          <w:smallCaps/>
          <w:sz w:val="24"/>
          <w:szCs w:val="24"/>
        </w:rPr>
        <w:t>idr</w:t>
      </w:r>
      <w:proofErr w:type="spellEnd"/>
      <w:r w:rsidRPr="005C66E5">
        <w:rPr>
          <w:rFonts w:ascii="Times New Roman" w:hAnsi="Times New Roman" w:cs="Times New Roman"/>
          <w:i/>
          <w:sz w:val="24"/>
          <w:szCs w:val="24"/>
        </w:rPr>
        <w:t xml:space="preserve">, specificando le penali applicate – tenuto conto delle cause e delle correlate responsabilità – ove sia stata accertata la fattibilità tecnica di procedure di limitazione, ovvero di </w:t>
      </w:r>
      <w:proofErr w:type="spellStart"/>
      <w:r w:rsidRPr="005C66E5">
        <w:rPr>
          <w:rFonts w:ascii="Times New Roman" w:hAnsi="Times New Roman" w:cs="Times New Roman"/>
          <w:i/>
          <w:sz w:val="24"/>
          <w:szCs w:val="24"/>
        </w:rPr>
        <w:t>disalimentazione</w:t>
      </w:r>
      <w:proofErr w:type="spellEnd"/>
      <w:r w:rsidRPr="005C66E5">
        <w:rPr>
          <w:rFonts w:ascii="Times New Roman" w:hAnsi="Times New Roman" w:cs="Times New Roman"/>
          <w:i/>
          <w:sz w:val="24"/>
          <w:szCs w:val="24"/>
        </w:rPr>
        <w:t xml:space="preserve"> selettiva nelle utenze condominiali per le quali il gestore avesse invece dichiarato l’impossibilità di intervento</w:t>
      </w:r>
    </w:p>
    <w:sectPr w:rsidR="00DF11A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7AD30" w14:textId="77777777" w:rsidR="00E951F9" w:rsidRDefault="00E951F9" w:rsidP="00605CC8">
      <w:pPr>
        <w:spacing w:after="0" w:line="240" w:lineRule="auto"/>
      </w:pPr>
      <w:r>
        <w:separator/>
      </w:r>
    </w:p>
  </w:endnote>
  <w:endnote w:type="continuationSeparator" w:id="0">
    <w:p w14:paraId="3273770C" w14:textId="77777777" w:rsidR="00E951F9" w:rsidRDefault="00E951F9" w:rsidP="0060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10887"/>
      <w:docPartObj>
        <w:docPartGallery w:val="Page Numbers (Bottom of Page)"/>
        <w:docPartUnique/>
      </w:docPartObj>
    </w:sdtPr>
    <w:sdtContent>
      <w:p w14:paraId="263C97EF" w14:textId="1E2387AF" w:rsidR="00605CC8" w:rsidRDefault="00605CC8">
        <w:pPr>
          <w:pStyle w:val="Pidipagina"/>
          <w:jc w:val="right"/>
        </w:pPr>
        <w:r>
          <w:fldChar w:fldCharType="begin"/>
        </w:r>
        <w:r>
          <w:instrText>PAGE   \* MERGEFORMAT</w:instrText>
        </w:r>
        <w:r>
          <w:fldChar w:fldCharType="separate"/>
        </w:r>
        <w:r>
          <w:t>2</w:t>
        </w:r>
        <w:r>
          <w:fldChar w:fldCharType="end"/>
        </w:r>
      </w:p>
    </w:sdtContent>
  </w:sdt>
  <w:p w14:paraId="03B64295" w14:textId="77777777" w:rsidR="00605CC8" w:rsidRDefault="00605C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49765" w14:textId="77777777" w:rsidR="00E951F9" w:rsidRDefault="00E951F9" w:rsidP="00605CC8">
      <w:pPr>
        <w:spacing w:after="0" w:line="240" w:lineRule="auto"/>
      </w:pPr>
      <w:r>
        <w:separator/>
      </w:r>
    </w:p>
  </w:footnote>
  <w:footnote w:type="continuationSeparator" w:id="0">
    <w:p w14:paraId="7B3BB5F8" w14:textId="77777777" w:rsidR="00E951F9" w:rsidRDefault="00E951F9" w:rsidP="00605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91BAA"/>
    <w:multiLevelType w:val="multilevel"/>
    <w:tmpl w:val="51F20570"/>
    <w:lvl w:ilvl="0">
      <w:start w:val="1"/>
      <w:numFmt w:val="decimal"/>
      <w:pStyle w:val="Titolo1"/>
      <w:lvlText w:val="%1"/>
      <w:lvlJc w:val="left"/>
      <w:pPr>
        <w:tabs>
          <w:tab w:val="num" w:pos="432"/>
        </w:tabs>
        <w:ind w:left="432" w:hanging="432"/>
      </w:pPr>
      <w:rPr>
        <w:sz w:val="26"/>
        <w:szCs w:val="26"/>
      </w:rPr>
    </w:lvl>
    <w:lvl w:ilvl="1">
      <w:start w:val="1"/>
      <w:numFmt w:val="decimal"/>
      <w:pStyle w:val="Titolo2"/>
      <w:lvlText w:val="%1.%2"/>
      <w:lvlJc w:val="left"/>
      <w:pPr>
        <w:tabs>
          <w:tab w:val="num" w:pos="7239"/>
        </w:tabs>
        <w:ind w:left="7239" w:hanging="576"/>
      </w:pPr>
    </w:lvl>
    <w:lvl w:ilvl="2">
      <w:start w:val="1"/>
      <w:numFmt w:val="decimal"/>
      <w:pStyle w:val="Titolo3"/>
      <w:lvlText w:val="%1.%2.%3"/>
      <w:lvlJc w:val="left"/>
      <w:pPr>
        <w:tabs>
          <w:tab w:val="num" w:pos="1997"/>
        </w:tabs>
        <w:ind w:left="1997" w:hanging="720"/>
      </w:pPr>
    </w:lvl>
    <w:lvl w:ilvl="3">
      <w:start w:val="1"/>
      <w:numFmt w:val="decimal"/>
      <w:pStyle w:val="Titolo4"/>
      <w:lvlText w:val="%1.%2.%3.%4"/>
      <w:lvlJc w:val="left"/>
      <w:pPr>
        <w:tabs>
          <w:tab w:val="num" w:pos="1999"/>
        </w:tabs>
        <w:ind w:left="1999" w:hanging="864"/>
      </w:pPr>
      <w:rPr>
        <w:vertAlign w:val="baseline"/>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 w15:restartNumberingAfterBreak="0">
    <w:nsid w:val="70EA1129"/>
    <w:multiLevelType w:val="hybridMultilevel"/>
    <w:tmpl w:val="E6782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C8"/>
    <w:rsid w:val="005E07B8"/>
    <w:rsid w:val="00605CC8"/>
    <w:rsid w:val="00B56427"/>
    <w:rsid w:val="00D469C3"/>
    <w:rsid w:val="00DF11A3"/>
    <w:rsid w:val="00E951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5D0C"/>
  <w15:chartTrackingRefBased/>
  <w15:docId w15:val="{62EB11E9-54D6-4E8E-8A7F-71773AF1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5CC8"/>
    <w:pPr>
      <w:keepLines/>
      <w:widowControl w:val="0"/>
      <w:spacing w:after="120" w:line="276" w:lineRule="auto"/>
      <w:jc w:val="both"/>
    </w:pPr>
    <w:rPr>
      <w:rFonts w:ascii="Arial" w:hAnsi="Arial"/>
    </w:rPr>
  </w:style>
  <w:style w:type="paragraph" w:styleId="Titolo1">
    <w:name w:val="heading 1"/>
    <w:basedOn w:val="Normale"/>
    <w:next w:val="Normale"/>
    <w:link w:val="Titolo1Carattere"/>
    <w:qFormat/>
    <w:rsid w:val="00605CC8"/>
    <w:pPr>
      <w:keepNext/>
      <w:keepLines w:val="0"/>
      <w:widowControl/>
      <w:numPr>
        <w:numId w:val="1"/>
      </w:numPr>
      <w:spacing w:before="120" w:line="240" w:lineRule="auto"/>
      <w:jc w:val="left"/>
      <w:outlineLvl w:val="0"/>
    </w:pPr>
    <w:rPr>
      <w:rFonts w:ascii="Times New Roman" w:eastAsia="Times New Roman" w:hAnsi="Times New Roman" w:cs="Arial"/>
      <w:b/>
      <w:bCs/>
      <w:kern w:val="32"/>
      <w:sz w:val="26"/>
      <w:szCs w:val="32"/>
      <w:lang w:eastAsia="it-IT"/>
    </w:rPr>
  </w:style>
  <w:style w:type="paragraph" w:styleId="Titolo2">
    <w:name w:val="heading 2"/>
    <w:basedOn w:val="Normale"/>
    <w:next w:val="Normale"/>
    <w:link w:val="Titolo2Carattere"/>
    <w:qFormat/>
    <w:rsid w:val="00605CC8"/>
    <w:pPr>
      <w:keepNext/>
      <w:keepLines w:val="0"/>
      <w:widowControl/>
      <w:numPr>
        <w:ilvl w:val="1"/>
        <w:numId w:val="1"/>
      </w:numPr>
      <w:spacing w:before="120" w:after="60" w:line="240" w:lineRule="auto"/>
      <w:jc w:val="left"/>
      <w:outlineLvl w:val="1"/>
    </w:pPr>
    <w:rPr>
      <w:rFonts w:ascii="Times New Roman" w:eastAsia="Times New Roman" w:hAnsi="Times New Roman" w:cs="Arial"/>
      <w:b/>
      <w:bCs/>
      <w:iCs/>
      <w:sz w:val="24"/>
      <w:szCs w:val="24"/>
      <w:lang w:eastAsia="en-GB"/>
    </w:rPr>
  </w:style>
  <w:style w:type="paragraph" w:styleId="Titolo3">
    <w:name w:val="heading 3"/>
    <w:basedOn w:val="Normale"/>
    <w:next w:val="Normale"/>
    <w:link w:val="Titolo3Carattere"/>
    <w:qFormat/>
    <w:rsid w:val="00605CC8"/>
    <w:pPr>
      <w:keepLines w:val="0"/>
      <w:widowControl/>
      <w:numPr>
        <w:ilvl w:val="2"/>
        <w:numId w:val="1"/>
      </w:numPr>
      <w:spacing w:after="60" w:line="240" w:lineRule="auto"/>
      <w:jc w:val="left"/>
      <w:outlineLvl w:val="2"/>
    </w:pPr>
    <w:rPr>
      <w:rFonts w:ascii="Times New Roman" w:eastAsia="Times New Roman" w:hAnsi="Times New Roman" w:cs="Arial"/>
      <w:b/>
      <w:bCs/>
      <w:i/>
      <w:sz w:val="24"/>
      <w:szCs w:val="24"/>
      <w:lang w:eastAsia="en-GB"/>
    </w:rPr>
  </w:style>
  <w:style w:type="paragraph" w:styleId="Titolo4">
    <w:name w:val="heading 4"/>
    <w:basedOn w:val="Normale"/>
    <w:next w:val="Normale"/>
    <w:link w:val="Titolo4Carattere"/>
    <w:qFormat/>
    <w:rsid w:val="00605CC8"/>
    <w:pPr>
      <w:keepNext/>
      <w:keepLines w:val="0"/>
      <w:widowControl/>
      <w:numPr>
        <w:ilvl w:val="3"/>
        <w:numId w:val="1"/>
      </w:numPr>
      <w:spacing w:line="240" w:lineRule="auto"/>
      <w:jc w:val="left"/>
      <w:outlineLvl w:val="3"/>
    </w:pPr>
    <w:rPr>
      <w:rFonts w:ascii="Times New Roman" w:eastAsia="Times New Roman" w:hAnsi="Times New Roman" w:cs="Times New Roman"/>
      <w:bCs/>
      <w:sz w:val="24"/>
      <w:szCs w:val="24"/>
      <w:u w:val="single"/>
      <w:lang w:eastAsia="en-GB"/>
    </w:rPr>
  </w:style>
  <w:style w:type="paragraph" w:styleId="Titolo5">
    <w:name w:val="heading 5"/>
    <w:basedOn w:val="Normale"/>
    <w:next w:val="Normale"/>
    <w:link w:val="Titolo5Carattere"/>
    <w:qFormat/>
    <w:rsid w:val="00605CC8"/>
    <w:pPr>
      <w:keepLines w:val="0"/>
      <w:widowControl/>
      <w:numPr>
        <w:ilvl w:val="4"/>
        <w:numId w:val="1"/>
      </w:numPr>
      <w:spacing w:before="240" w:after="60" w:line="240" w:lineRule="auto"/>
      <w:jc w:val="left"/>
      <w:outlineLvl w:val="4"/>
    </w:pPr>
    <w:rPr>
      <w:rFonts w:ascii="Times New Roman" w:eastAsia="Times New Roman" w:hAnsi="Times New Roman" w:cs="Times New Roman"/>
      <w:b/>
      <w:bCs/>
      <w:i/>
      <w:iCs/>
      <w:sz w:val="26"/>
      <w:szCs w:val="26"/>
      <w:lang w:eastAsia="it-IT"/>
    </w:rPr>
  </w:style>
  <w:style w:type="paragraph" w:styleId="Titolo6">
    <w:name w:val="heading 6"/>
    <w:basedOn w:val="Normale"/>
    <w:next w:val="Normale"/>
    <w:link w:val="Titolo6Carattere"/>
    <w:qFormat/>
    <w:rsid w:val="00605CC8"/>
    <w:pPr>
      <w:keepLines w:val="0"/>
      <w:widowControl/>
      <w:numPr>
        <w:ilvl w:val="5"/>
        <w:numId w:val="1"/>
      </w:numPr>
      <w:spacing w:before="240" w:after="60" w:line="240" w:lineRule="auto"/>
      <w:jc w:val="left"/>
      <w:outlineLvl w:val="5"/>
    </w:pPr>
    <w:rPr>
      <w:rFonts w:ascii="Times New Roman" w:eastAsia="Times New Roman" w:hAnsi="Times New Roman" w:cs="Times New Roman"/>
      <w:b/>
      <w:bCs/>
      <w:lang w:eastAsia="it-IT"/>
    </w:rPr>
  </w:style>
  <w:style w:type="paragraph" w:styleId="Titolo7">
    <w:name w:val="heading 7"/>
    <w:basedOn w:val="Normale"/>
    <w:next w:val="Normale"/>
    <w:link w:val="Titolo7Carattere"/>
    <w:qFormat/>
    <w:rsid w:val="00605CC8"/>
    <w:pPr>
      <w:keepLines w:val="0"/>
      <w:widowControl/>
      <w:numPr>
        <w:ilvl w:val="6"/>
        <w:numId w:val="1"/>
      </w:numPr>
      <w:spacing w:before="240" w:after="60" w:line="240" w:lineRule="auto"/>
      <w:jc w:val="left"/>
      <w:outlineLvl w:val="6"/>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605CC8"/>
    <w:pPr>
      <w:keepLines w:val="0"/>
      <w:widowControl/>
      <w:numPr>
        <w:ilvl w:val="7"/>
        <w:numId w:val="1"/>
      </w:numPr>
      <w:spacing w:before="240" w:after="60" w:line="240" w:lineRule="auto"/>
      <w:jc w:val="left"/>
      <w:outlineLvl w:val="7"/>
    </w:pPr>
    <w:rPr>
      <w:rFonts w:ascii="Times New Roman" w:eastAsia="Times New Roman" w:hAnsi="Times New Roman" w:cs="Times New Roman"/>
      <w:i/>
      <w:iCs/>
      <w:sz w:val="24"/>
      <w:szCs w:val="24"/>
      <w:lang w:eastAsia="it-IT"/>
    </w:rPr>
  </w:style>
  <w:style w:type="paragraph" w:styleId="Titolo9">
    <w:name w:val="heading 9"/>
    <w:basedOn w:val="Normale"/>
    <w:next w:val="Normale"/>
    <w:link w:val="Titolo9Carattere"/>
    <w:qFormat/>
    <w:rsid w:val="00605CC8"/>
    <w:pPr>
      <w:keepLines w:val="0"/>
      <w:widowControl/>
      <w:numPr>
        <w:ilvl w:val="8"/>
        <w:numId w:val="1"/>
      </w:numPr>
      <w:spacing w:before="240" w:after="60" w:line="240" w:lineRule="auto"/>
      <w:jc w:val="left"/>
      <w:outlineLvl w:val="8"/>
    </w:pPr>
    <w:rPr>
      <w:rFonts w:eastAsia="Times New Roman"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05CC8"/>
    <w:rPr>
      <w:rFonts w:ascii="Times New Roman" w:eastAsia="Times New Roman" w:hAnsi="Times New Roman" w:cs="Arial"/>
      <w:b/>
      <w:bCs/>
      <w:kern w:val="32"/>
      <w:sz w:val="26"/>
      <w:szCs w:val="32"/>
      <w:lang w:eastAsia="it-IT"/>
    </w:rPr>
  </w:style>
  <w:style w:type="character" w:customStyle="1" w:styleId="Titolo2Carattere">
    <w:name w:val="Titolo 2 Carattere"/>
    <w:basedOn w:val="Carpredefinitoparagrafo"/>
    <w:link w:val="Titolo2"/>
    <w:rsid w:val="00605CC8"/>
    <w:rPr>
      <w:rFonts w:ascii="Times New Roman" w:eastAsia="Times New Roman" w:hAnsi="Times New Roman" w:cs="Arial"/>
      <w:b/>
      <w:bCs/>
      <w:iCs/>
      <w:sz w:val="24"/>
      <w:szCs w:val="24"/>
      <w:lang w:eastAsia="en-GB"/>
    </w:rPr>
  </w:style>
  <w:style w:type="character" w:customStyle="1" w:styleId="Titolo3Carattere">
    <w:name w:val="Titolo 3 Carattere"/>
    <w:basedOn w:val="Carpredefinitoparagrafo"/>
    <w:link w:val="Titolo3"/>
    <w:rsid w:val="00605CC8"/>
    <w:rPr>
      <w:rFonts w:ascii="Times New Roman" w:eastAsia="Times New Roman" w:hAnsi="Times New Roman" w:cs="Arial"/>
      <w:b/>
      <w:bCs/>
      <w:i/>
      <w:sz w:val="24"/>
      <w:szCs w:val="24"/>
      <w:lang w:eastAsia="en-GB"/>
    </w:rPr>
  </w:style>
  <w:style w:type="character" w:customStyle="1" w:styleId="Titolo4Carattere">
    <w:name w:val="Titolo 4 Carattere"/>
    <w:basedOn w:val="Carpredefinitoparagrafo"/>
    <w:link w:val="Titolo4"/>
    <w:rsid w:val="00605CC8"/>
    <w:rPr>
      <w:rFonts w:ascii="Times New Roman" w:eastAsia="Times New Roman" w:hAnsi="Times New Roman" w:cs="Times New Roman"/>
      <w:bCs/>
      <w:sz w:val="24"/>
      <w:szCs w:val="24"/>
      <w:u w:val="single"/>
      <w:lang w:eastAsia="en-GB"/>
    </w:rPr>
  </w:style>
  <w:style w:type="character" w:customStyle="1" w:styleId="Titolo5Carattere">
    <w:name w:val="Titolo 5 Carattere"/>
    <w:basedOn w:val="Carpredefinitoparagrafo"/>
    <w:link w:val="Titolo5"/>
    <w:rsid w:val="00605CC8"/>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rsid w:val="00605CC8"/>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605CC8"/>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605CC8"/>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605CC8"/>
    <w:rPr>
      <w:rFonts w:ascii="Arial" w:eastAsia="Times New Roman" w:hAnsi="Arial" w:cs="Arial"/>
      <w:lang w:eastAsia="it-IT"/>
    </w:rPr>
  </w:style>
  <w:style w:type="paragraph" w:styleId="Paragrafoelenco">
    <w:name w:val="List Paragraph"/>
    <w:basedOn w:val="Normale"/>
    <w:uiPriority w:val="34"/>
    <w:qFormat/>
    <w:rsid w:val="00605CC8"/>
    <w:pPr>
      <w:ind w:left="720"/>
      <w:contextualSpacing/>
    </w:pPr>
  </w:style>
  <w:style w:type="paragraph" w:styleId="Intestazione">
    <w:name w:val="header"/>
    <w:basedOn w:val="Normale"/>
    <w:link w:val="IntestazioneCarattere"/>
    <w:uiPriority w:val="99"/>
    <w:unhideWhenUsed/>
    <w:rsid w:val="00605C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CC8"/>
    <w:rPr>
      <w:rFonts w:ascii="Arial" w:hAnsi="Arial"/>
    </w:rPr>
  </w:style>
  <w:style w:type="paragraph" w:styleId="Pidipagina">
    <w:name w:val="footer"/>
    <w:basedOn w:val="Normale"/>
    <w:link w:val="PidipaginaCarattere"/>
    <w:uiPriority w:val="99"/>
    <w:unhideWhenUsed/>
    <w:rsid w:val="00605C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CC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0CAEA-F4C2-4BAB-AA73-D412CD27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2021-12-01T10:38:00Z</dcterms:created>
  <dcterms:modified xsi:type="dcterms:W3CDTF">2021-12-01T10:39:00Z</dcterms:modified>
</cp:coreProperties>
</file>